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54" w:rsidRDefault="0055165E">
      <w:pPr>
        <w:pStyle w:val="Textbody"/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9D7C54" w:rsidRDefault="009D7C54">
      <w:pPr>
        <w:pStyle w:val="Textbody"/>
      </w:pPr>
    </w:p>
    <w:p w:rsidR="009D7C54" w:rsidRDefault="0055165E">
      <w:pPr>
        <w:pStyle w:val="Textbody"/>
        <w:spacing w:after="57"/>
        <w:jc w:val="center"/>
        <w:rPr>
          <w:rFonts w:ascii="Arial, sans-serif" w:hAnsi="Arial, sans-serif"/>
          <w:b/>
          <w:bCs/>
          <w:sz w:val="28"/>
          <w:szCs w:val="28"/>
        </w:rPr>
      </w:pPr>
      <w:r>
        <w:rPr>
          <w:rFonts w:ascii="Arial, sans-serif" w:hAnsi="Arial, sans-serif"/>
          <w:b/>
          <w:bCs/>
          <w:sz w:val="28"/>
          <w:szCs w:val="28"/>
        </w:rPr>
        <w:t>Sprechen</w:t>
      </w:r>
    </w:p>
    <w:p w:rsidR="009D7C54" w:rsidRDefault="009D7C54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9D7C54" w:rsidRDefault="0055165E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9D7C54" w:rsidRDefault="0055165E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 I – III der Thüringer Gemeinschaftsschule</w:t>
      </w:r>
    </w:p>
    <w:p w:rsidR="009D7C54" w:rsidRDefault="009D7C54">
      <w:pPr>
        <w:pStyle w:val="Textbody"/>
        <w:spacing w:after="57"/>
      </w:pPr>
    </w:p>
    <w:p w:rsidR="009D7C54" w:rsidRDefault="0055165E">
      <w:pPr>
        <w:pStyle w:val="Textbody"/>
        <w:spacing w:after="57"/>
      </w:pPr>
      <w:r>
        <w:t xml:space="preserve">Die </w:t>
      </w:r>
      <w:r>
        <w:t>vorliegende Synopse bezieht sich auf die derzeit gültigen Lehrpläne.</w:t>
      </w:r>
    </w:p>
    <w:p w:rsidR="009D7C54" w:rsidRDefault="009D7C54">
      <w:pPr>
        <w:pStyle w:val="Textbody"/>
        <w:spacing w:after="57"/>
      </w:pPr>
    </w:p>
    <w:p w:rsidR="009D7C54" w:rsidRDefault="0055165E">
      <w:pPr>
        <w:pStyle w:val="Textbody"/>
        <w:spacing w:after="57"/>
      </w:pPr>
      <w:r>
        <w:t>Das sind im Einzelnen:</w:t>
      </w:r>
    </w:p>
    <w:p w:rsidR="009D7C54" w:rsidRDefault="0055165E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des Hauptschul- und Realschulabschlusses Englisch (2011) für die Klassenstufen 7-10 und</w:t>
      </w:r>
    </w:p>
    <w:p w:rsidR="009D7C54" w:rsidRDefault="0055165E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der allgemeinen</w:t>
      </w:r>
      <w:r>
        <w:t xml:space="preserve"> Hochschulreife Englisch (2019) für die Klassenstufen 7-10.</w:t>
      </w:r>
    </w:p>
    <w:p w:rsidR="009D7C54" w:rsidRDefault="009D7C54">
      <w:pPr>
        <w:pStyle w:val="TextLinks"/>
        <w:rPr>
          <w:b/>
          <w:bCs/>
          <w:sz w:val="28"/>
          <w:szCs w:val="28"/>
        </w:rPr>
      </w:pPr>
    </w:p>
    <w:p w:rsidR="009D7C54" w:rsidRDefault="009D7C54">
      <w:pPr>
        <w:pStyle w:val="TextLinks"/>
        <w:rPr>
          <w:b/>
          <w:bCs/>
          <w:sz w:val="28"/>
          <w:szCs w:val="28"/>
        </w:rPr>
      </w:pPr>
    </w:p>
    <w:p w:rsidR="009D7C54" w:rsidRDefault="009D7C54">
      <w:pPr>
        <w:pStyle w:val="TextLinks"/>
        <w:rPr>
          <w:b/>
          <w:bCs/>
          <w:sz w:val="28"/>
          <w:szCs w:val="28"/>
        </w:rPr>
      </w:pPr>
    </w:p>
    <w:p w:rsidR="009D7C54" w:rsidRDefault="0055165E">
      <w:pPr>
        <w:pStyle w:val="TextLinks"/>
      </w:pPr>
      <w:r>
        <w:rPr>
          <w:b/>
          <w:bCs/>
          <w:sz w:val="28"/>
          <w:szCs w:val="28"/>
        </w:rPr>
        <w:t>Klassenstufen 7/8</w:t>
      </w:r>
    </w:p>
    <w:p w:rsidR="009D7C54" w:rsidRDefault="009D7C54">
      <w:pPr>
        <w:pStyle w:val="TextLinks"/>
      </w:pPr>
    </w:p>
    <w:p w:rsidR="009D7C54" w:rsidRDefault="009D7C54">
      <w:pPr>
        <w:pStyle w:val="TextLinks"/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4762"/>
        <w:gridCol w:w="4763"/>
      </w:tblGrid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body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An Gesprächen teilnehmen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elementaren und punktuell komplexen sprachlichen und</w:t>
            </w:r>
            <w:r>
              <w:rPr>
                <w:szCs w:val="22"/>
              </w:rPr>
              <w:t xml:space="preserve"> nicht sprachlichen Mitteln und Hilfen in Gesprächssituationen zu vertrauten Themen funktional angemessen und weitgehend normgerecht interagieren, wenn die Gesprächspartner langsam und in deutlich artikulierter Standardsprache sprechen.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elementaren und</w:t>
            </w:r>
            <w:r>
              <w:rPr>
                <w:szCs w:val="22"/>
              </w:rPr>
              <w:t xml:space="preserve"> auch komplexen sprachlichen und nicht sprachlichen Mitteln in Gesprächssituationen zu vertrauten Themen funktional angemessen und weitgehend normgerecht interagieren, wenn die Gesprächspartner in Standardsprache sprechen.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Dies bedeutet, der Schüler kann </w:t>
            </w:r>
            <w:r>
              <w:rPr>
                <w:szCs w:val="22"/>
              </w:rPr>
              <w:t>sich in Gesprächen zur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Kontaktaufnahme und -pflege,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Unterhaltung,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Orientierung,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Planung und Inanspruchnahme von Dienstleistungen sowie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in Interviews</w:t>
            </w:r>
          </w:p>
          <w:p w:rsidR="009D7C54" w:rsidRDefault="0055165E">
            <w:pPr>
              <w:pStyle w:val="TextLinks"/>
            </w:pPr>
            <w:r>
              <w:t>äußern und dabei</w:t>
            </w:r>
          </w:p>
          <w:p w:rsidR="009D7C54" w:rsidRDefault="0055165E">
            <w:pPr>
              <w:pStyle w:val="Anstrich2"/>
              <w:numPr>
                <w:ilvl w:val="0"/>
                <w:numId w:val="31"/>
              </w:numPr>
              <w:rPr>
                <w:szCs w:val="22"/>
              </w:rPr>
            </w:pPr>
            <w:r>
              <w:rPr>
                <w:szCs w:val="22"/>
              </w:rPr>
              <w:t>soziale Kontakte unter Verwendung alltäglicher Höflichkeitsformeln realisieren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einfache </w:t>
            </w:r>
            <w:r>
              <w:rPr>
                <w:szCs w:val="22"/>
              </w:rPr>
              <w:t>Fragen stellen und darauf reagieren,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einfache und auch komplexe Fragen stellen und darauf reagieren,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über Aspekte der Kultur, Geschichte und Geografie sprechen,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über Aspekte der Kultur, Geschichte und Geografie sprechen,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Wünsche, Vorlieben und </w:t>
            </w:r>
            <w:r>
              <w:rPr>
                <w:szCs w:val="22"/>
              </w:rPr>
              <w:t>Vorstellungen äußern, ihnen zustimmen oder sie ablehnen,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eigene Gefühle mitteilen und auf Gefühlsäußerungen anderer reagieren,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Aufforderungen und Vorschläge formulieren und darauf reagieren,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um Entschuldigung bitten und auf Entschuldigungen reagieren,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eine</w:t>
            </w:r>
            <w:r>
              <w:rPr>
                <w:szCs w:val="22"/>
              </w:rPr>
              <w:t xml:space="preserve"> Meinung erfragen und äußern,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einfache Schlussfolgerungen und Wertungen formulieren,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Schlussfolgerungen und Wertungen formulieren,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Hilfe und Unterstützung anbieten und erbitten,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um Wiederholung und/oder Umformulierung bitten.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body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Zusammenhängendes Sprechen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t>Der Schüler kann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numPr>
                <w:ilvl w:val="0"/>
                <w:numId w:val="0"/>
              </w:numPr>
              <w:spacing w:before="0"/>
              <w:ind w:left="198" w:hanging="170"/>
              <w:rPr>
                <w:szCs w:val="22"/>
              </w:rPr>
            </w:pPr>
            <w:r>
              <w:rPr>
                <w:szCs w:val="22"/>
              </w:rPr>
              <w:t>mit elementaren und punktuell komplexen sprachlichen und nicht sprachlichen Mitteln und Hilfen funktional angemessen und weitgehend normgerecht vor Zuhörern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numPr>
                <w:ilvl w:val="0"/>
                <w:numId w:val="0"/>
              </w:numPr>
              <w:spacing w:before="0"/>
              <w:ind w:left="198" w:hanging="170"/>
              <w:rPr>
                <w:szCs w:val="22"/>
              </w:rPr>
            </w:pPr>
            <w:r>
              <w:rPr>
                <w:szCs w:val="22"/>
              </w:rPr>
              <w:t>mit elementaren und auch komplexen sprachlichen und nicht sprachlichen Mitteln u</w:t>
            </w:r>
            <w:r>
              <w:rPr>
                <w:szCs w:val="22"/>
              </w:rPr>
              <w:t>nd Hilfen funktional angemessen und weitgehend normgerecht vor Zuhörern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Links"/>
              <w:ind w:left="212" w:hanging="212"/>
              <w:rPr>
                <w:szCs w:val="22"/>
              </w:rPr>
            </w:pPr>
            <w:r>
              <w:rPr>
                <w:szCs w:val="22"/>
              </w:rPr>
              <w:t>mit elementaren und auch komplexen sprachlichen und nicht sprachlichen Mitteln funktional angemessen und weitgehend normgerecht vor Zuhörern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über Aspekte des eigenen Lebensbereichs </w:t>
            </w:r>
            <w:r>
              <w:rPr>
                <w:szCs w:val="22"/>
              </w:rPr>
              <w:t>berichten,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über seine Person, Familie und Freunde Auskunft geben bzw. über sie erzählen,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sein Befinden, seine Erfahrungen, aktuelle und vergangene Gewohnheiten, Alltagsroutinen und Aktivitäten sowie die anderer Personen beschreiben, darüber berichten bzw. </w:t>
            </w:r>
            <w:r>
              <w:rPr>
                <w:szCs w:val="22"/>
              </w:rPr>
              <w:t>erzählen,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Vorlieben oder Abneigungen benennen, beschreiben, darüber berichten bzw. erzählen,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eigene Geschichten erzählen und über fiktive Ereignisse berichten,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Pläne und Vereinbarungen beschreiben,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lastRenderedPageBreak/>
              <w:t>vorbereitete Präsentationen zu vertrauten Themen vortrage</w:t>
            </w:r>
            <w:r>
              <w:rPr>
                <w:szCs w:val="22"/>
              </w:rPr>
              <w:t>n,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vorbereitete Präsentationen zu überwiegend vertrauten Themen vortragen,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Global- und Detailinformationen aus gehörten bzw. gesehenen und gelesenen nicht literarischen und literarischen Texten wiedergeben und/oder zusammenfassen,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mit Vorbereitung </w:t>
            </w:r>
            <w:r>
              <w:rPr>
                <w:szCs w:val="22"/>
              </w:rPr>
              <w:t>fließend und gestaltend vorlesen,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fließend und gestaltend vorlesen,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eingeübte literarische Texte, z. B. Gedichte, Reime, Lieder, sinngestaltend vortragen,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Texte inszenieren,</w:t>
            </w:r>
          </w:p>
          <w:p w:rsidR="009D7C54" w:rsidRDefault="0055165E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überwiegend vertraute englischsprachige Wendungen der Unterrichtssprache </w:t>
            </w:r>
            <w:r>
              <w:rPr>
                <w:szCs w:val="22"/>
              </w:rPr>
              <w:t>verstehen und entsprechend handeln.</w:t>
            </w:r>
          </w:p>
        </w:tc>
      </w:tr>
    </w:tbl>
    <w:p w:rsidR="009D7C54" w:rsidRDefault="009D7C54"/>
    <w:p w:rsidR="009D7C54" w:rsidRDefault="009D7C54">
      <w:pPr>
        <w:pageBreakBefore/>
      </w:pPr>
    </w:p>
    <w:tbl>
      <w:tblPr>
        <w:tblW w:w="1428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4762"/>
        <w:gridCol w:w="4756"/>
      </w:tblGrid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grundlegende Intonationsmuster der englischen Sprache imitieren und anwenden,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 xml:space="preserve">sprachliches, soziokulturelles und </w:t>
            </w:r>
            <w:r>
              <w:t>thematisches Wissen sowie Weltwissen unter Anleitung einbeziehen und nutzen,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sprachliches, thematisches und soziokulturelles Wissen und Weltwissen überwiegend selbstständig einbeziehen und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einen Redeplan unter Anleitung anfertigen und nutzen,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einen Redeplan überwiegend selbstständig anfertigen und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altersgemäße elektronische und nicht elektronische Hilfsmittel, z. B. Wörterverzeichnisse, zweisprachige Wörterbücher, sowie Medien und Präsentationstechniken unter Anleitung nutzen,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1"/>
            </w:pPr>
            <w:r>
              <w:t>altersge</w:t>
            </w:r>
            <w:r>
              <w:t>mäße elektronische und nicht elektronische Hilfsmittel, z. B. Wörterverzeichnisse, zweisprachige Wörterbücher, sowie Medien und Präsentationstechniken überwiegend selbstständig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 xml:space="preserve">ein Gespräch mit Hilfe sprachlicher und nicht sprachlicher Mittel und </w:t>
            </w:r>
            <w:r>
              <w:t>Hilfen adressaten- und situationsgerecht beginnen, aufrechterhalten und beenden,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ein Gespräch mit Hilfe sprachlicher und nicht sprachlicher Mittel adressaten-, situations- und sachgerecht beginnen, aufrechterhalten und beenden,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42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aus Quellen entnommene Info</w:t>
            </w:r>
            <w:r>
              <w:t>rmationen für eigene Darlegungen nutzen,</w:t>
            </w:r>
          </w:p>
          <w:p w:rsidR="009D7C54" w:rsidRDefault="0055165E">
            <w:pPr>
              <w:pStyle w:val="Anstrich1"/>
            </w:pPr>
            <w:r>
              <w:t>adressatengerecht und anschaulich präsentieren,</w:t>
            </w:r>
          </w:p>
          <w:p w:rsidR="009D7C54" w:rsidRDefault="0055165E">
            <w:pPr>
              <w:pStyle w:val="Anstrich1"/>
            </w:pPr>
            <w:r>
              <w:t>Techniken des Mit- und Nachsprechens sowie Auswendiglernens anwenden,</w:t>
            </w:r>
          </w:p>
          <w:p w:rsidR="009D7C54" w:rsidRDefault="0055165E">
            <w:pPr>
              <w:pStyle w:val="Anstrich1"/>
            </w:pPr>
            <w:r>
              <w:t>Reime, Gedichte, Lieder lernen und sie kreativ und phantasievoll ausgestalten,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 xml:space="preserve">eine eingeübte </w:t>
            </w:r>
            <w:r>
              <w:t>Rolle spielen,</w:t>
            </w:r>
          </w:p>
        </w:tc>
        <w:tc>
          <w:tcPr>
            <w:tcW w:w="95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1"/>
            </w:pPr>
            <w:r>
              <w:t xml:space="preserve"> im Rollenspiel agieren,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Strategien zur Förderung der Kommunikation durch Nachfragen, nicht sprachliche Mittel und/oder Umschreibung einsetzen.</w:t>
            </w:r>
          </w:p>
        </w:tc>
      </w:tr>
    </w:tbl>
    <w:p w:rsidR="009D7C54" w:rsidRDefault="009D7C54">
      <w:pPr>
        <w:pStyle w:val="Textbody"/>
      </w:pPr>
    </w:p>
    <w:p w:rsidR="009D7C54" w:rsidRDefault="009D7C54">
      <w:pPr>
        <w:pageBreakBefore/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4762"/>
        <w:gridCol w:w="4763"/>
      </w:tblGrid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 Handeln entsprechend der Aufgabe unter Anleitung und teilweise selbstständig gestalten,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 Handeln entsprechend der Aufgabe überwiegend selbstständig gestalten,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Gesprächsregeln einhalten,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sich in der </w:t>
            </w:r>
            <w:r>
              <w:rPr>
                <w:szCs w:val="22"/>
              </w:rPr>
              <w:t>Fremdsprache verständigen bzw. die Kommunikation aufrechterhalten,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situations- und adressatengerecht unter Beachtung sozialer Beziehungen agieren und dabei Respekt und Toleranz zeigen,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adressaten-, situations- und sachgerecht unter Beachtung sozialer Bezi</w:t>
            </w:r>
            <w:r>
              <w:rPr>
                <w:szCs w:val="22"/>
              </w:rPr>
              <w:t>ehungen agieren und dabei Respekt und Toleranz zeigen,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sich in der Fremdsprache verständigen bzw. die Kommunikation aufrechterhalten,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mit Unbekanntem und Unvorhergesehenem angemessen umgehen,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1"/>
            </w:pPr>
            <w:r>
              <w:t>konstruktiv mit Unbekanntem und Unvorhergesehenem umgehen,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7C54" w:rsidRDefault="0055165E">
            <w:pPr>
              <w:pStyle w:val="Anstrich1"/>
            </w:pPr>
            <w:r>
              <w:t>auf</w:t>
            </w:r>
            <w:r>
              <w:t xml:space="preserve"> Unbekanntes/Unvorhergesehenes angemessen und auch konstruktiv reagieren,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eigene Sprach- und Verhaltenskonventionen bzw. Besonderheiten der Lebensweise mit denen von Schülern in englischsprachigen und anderen Ländern vergleichen, Gemeinsamkeiten und Unter</w:t>
            </w:r>
            <w:r>
              <w:t>schiede erkennen und respektieren,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rPr>
                <w:rFonts w:cs="Arial"/>
                <w:szCs w:val="22"/>
              </w:rPr>
              <w:t>mit anderen zusammenarbeiten, Unterstützung geben und annehmen sowie Verantwortung für andere übernehmen,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 xml:space="preserve">seine Kompetenzentwicklung unter Anleitung und teilweise selbstständig einschätzen, z. B. mit Hilfe eines </w:t>
            </w:r>
            <w:r>
              <w:t>Portfolios.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seine Kompetenzentwicklung überwiegend selbstständig einschätzen, z. B. mit Hilfe eines Portfolios.</w:t>
            </w:r>
          </w:p>
        </w:tc>
      </w:tr>
    </w:tbl>
    <w:p w:rsidR="009D7C54" w:rsidRDefault="009D7C54">
      <w:pPr>
        <w:sectPr w:rsidR="009D7C54">
          <w:footerReference w:type="default" r:id="rId7"/>
          <w:pgSz w:w="16838" w:h="11906" w:orient="landscape"/>
          <w:pgMar w:top="720" w:right="1134" w:bottom="720" w:left="1417" w:header="720" w:footer="720" w:gutter="0"/>
          <w:cols w:space="720"/>
          <w:titlePg/>
        </w:sectPr>
      </w:pPr>
    </w:p>
    <w:p w:rsidR="009D7C54" w:rsidRDefault="0055165E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Klassenstufen 9/10</w:t>
      </w:r>
    </w:p>
    <w:p w:rsidR="009D7C54" w:rsidRDefault="009D7C54"/>
    <w:p w:rsidR="009D7C54" w:rsidRDefault="009D7C54">
      <w:pPr>
        <w:pStyle w:val="TextLinks"/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body"/>
            </w:pPr>
            <w:r>
              <w:rPr>
                <w:b/>
                <w:i/>
                <w:szCs w:val="22"/>
              </w:rPr>
              <w:t>An Gesprächen teilnehmen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 xml:space="preserve">mit </w:t>
            </w:r>
            <w:r>
              <w:rPr>
                <w:szCs w:val="22"/>
              </w:rPr>
              <w:t>elementaren und teilweise komplexen sprachlichen und nicht sprachlichen Mitteln und Hilfen, in Gesprächssituationen zu vertrauten Themen funktional angemessen und weitgehend normgerecht interagieren, wenn die Gesprächspartner in deutlich artikulierter Stan</w:t>
            </w:r>
            <w:r>
              <w:rPr>
                <w:szCs w:val="22"/>
              </w:rPr>
              <w:t>dardsprache sprechen.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mit elementaren und komplexen sprachlichen und nicht sprachlichen Mitteln, in Gesprächssituationen zu überwiegend vertrauten Themen funktional angemessen und weitgehend normgerecht interagieren, wenn die Gesprächspartner in Standardsp</w:t>
            </w:r>
            <w:r>
              <w:rPr>
                <w:szCs w:val="22"/>
              </w:rPr>
              <w:t>rache sprechen.</w:t>
            </w:r>
          </w:p>
          <w:p w:rsidR="009D7C54" w:rsidRDefault="009D7C54">
            <w:pPr>
              <w:pStyle w:val="TableContents"/>
              <w:rPr>
                <w:szCs w:val="22"/>
              </w:rPr>
            </w:pP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Dies bedeutet, der Schüler kann sich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in Gesprächen zur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Kontaktaufnahme und -pflege,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Unterhaltung,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Orientierung,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Planung und Inanspruchnahme von Dienstleistungen sowie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in Interviews äußern und dabei</w:t>
            </w:r>
          </w:p>
          <w:p w:rsidR="009D7C54" w:rsidRDefault="0055165E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soziale Kontakte unter Verwendung </w:t>
            </w:r>
            <w:r>
              <w:rPr>
                <w:szCs w:val="22"/>
              </w:rPr>
              <w:t>alltäglicher Höflichkeitsformeln realisieren,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vornehmlich einfache Fragen stellen und darauf reagieren,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einfache und komplexe Fragen stellen und darauf reagieren,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Aspekte der Kultur, Geschichte, Geografie, Politik, Ökonomie und Technik sprechen,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Aspekte der Kultur, Geschichte, Geografie, Politik, Ökonomie, Wissenschaft und Technik sprechen,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Wünsche, Vorlieben und Vorstellungen äußern, ihnen zustimmen oder sie ablehnen,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eigene Gefühle mitteilen und auf Gefühlsäußerungen anderer reagieren,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Aufforderungen und Vorschläge formulieren und darauf reagieren,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um Entschuldigung bitten und auf Entschuldigungen reagieren,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eine Meinung erfragen und äußern,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9D7C54">
            <w:pPr>
              <w:pStyle w:val="TableContents"/>
              <w:rPr>
                <w:szCs w:val="22"/>
              </w:rPr>
            </w:pP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Standpunkte in Diskussionen formulieren und vertreten,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Schlussfolgerungen und Wertungen </w:t>
            </w:r>
            <w:r>
              <w:rPr>
                <w:szCs w:val="22"/>
              </w:rPr>
              <w:t>formulieren und ggf. begründen,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Schlussfolgerungen und Wertungen formulieren und begründen,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>Hilfe und Unterstützung anbieten und erbitten,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um Wiederholung und/oder Umformulierung bitten.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extLinks"/>
            </w:pPr>
            <w:r>
              <w:rPr>
                <w:b/>
                <w:i/>
                <w:szCs w:val="22"/>
              </w:rPr>
              <w:t>Zusammenhängendes Sprechen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elementaren und teilweise komplexen</w:t>
            </w:r>
            <w:r>
              <w:rPr>
                <w:szCs w:val="22"/>
              </w:rPr>
              <w:t xml:space="preserve"> sprachlichen und nicht sprachlichen Mitteln und Hilfen funktional angemessen und weitgehend normgerecht vor Zuhörern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elementaren und komplexen sprachlichen und nicht sprachlichen Mitteln funktional angemessen und weitgehend normgerecht vor Zuhörern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</w:t>
            </w:r>
            <w:r>
              <w:rPr>
                <w:szCs w:val="22"/>
              </w:rPr>
              <w:t>ber Aspekte des eigenen Lebensbereichs berichten,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Aspekte des eigenen Lebensbereichs, z. B. über Menschen, Orte, Tätigkeiten, auch in der Arbeits- und Berufswelt, berichten,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rFonts w:eastAsia="Helvetica" w:cs="Helvetica"/>
                <w:szCs w:val="22"/>
              </w:rPr>
            </w:pPr>
            <w:r>
              <w:rPr>
                <w:rFonts w:eastAsia="Helvetica" w:cs="Helvetica"/>
                <w:szCs w:val="22"/>
              </w:rPr>
              <w:t>über Aspekte des eigenen Lebensbereichs berichten,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über seine Person, </w:t>
            </w:r>
            <w:r>
              <w:rPr>
                <w:szCs w:val="22"/>
              </w:rPr>
              <w:t>Familie und Freunde Auskunft geben bzw. über sie erzählen,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numPr>
                <w:ilvl w:val="0"/>
                <w:numId w:val="3"/>
              </w:numPr>
              <w:autoSpaceDE w:val="0"/>
              <w:rPr>
                <w:rFonts w:ascii="Arial" w:eastAsia="Helvetica" w:hAnsi="Arial" w:cs="Helvetica"/>
                <w:sz w:val="22"/>
                <w:szCs w:val="22"/>
              </w:rPr>
            </w:pPr>
            <w:r>
              <w:rPr>
                <w:rFonts w:ascii="Arial" w:eastAsia="Helvetica" w:hAnsi="Arial" w:cs="Helvetica"/>
                <w:sz w:val="22"/>
                <w:szCs w:val="22"/>
              </w:rPr>
              <w:t>sein Befinden, seine Erfahrungen, aktuelle und vergangene Gewohnheiten, Alltagsroutinen und Aktivitäten in Schule und Freizeit sowie die anderer Personen beschreiben, darüber berichten bzw. erzähl</w:t>
            </w:r>
            <w:r>
              <w:rPr>
                <w:rFonts w:ascii="Arial" w:eastAsia="Helvetica" w:hAnsi="Arial" w:cs="Helvetica"/>
                <w:sz w:val="22"/>
                <w:szCs w:val="22"/>
              </w:rPr>
              <w:t>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Vorlieben oder Abneigungen benennen, beschreiben, darüber berichten bzw. erzählen,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eigene Geschichten erzählen und über fiktive Ereignisse berichten,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Pläne und Vereinbarungen beschreiben,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vorbereitete Präsentationen zu vertrauten Themen vortragen,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vorbereitete Präsentationen zu überwiegend vertrauten Themen vortragen,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Global- und Detailinformationen aus gehörten bzw. gesehenen und gelesenen nicht literarischen und literarischen Texten wiedergeben und/oder zusammenfassen,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fließend und gestaltend vor</w:t>
            </w:r>
            <w:r>
              <w:rPr>
                <w:szCs w:val="22"/>
              </w:rPr>
              <w:t>lesen,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eingeübte literarische Texte, z. B. Gedichte, Reime, Lieder, sinngestaltend vortragen,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inszenieren,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englischsprachige Wendungen der Unterrichtssprache verstehen und entsprechend handeln.</w:t>
            </w:r>
          </w:p>
        </w:tc>
      </w:tr>
    </w:tbl>
    <w:p w:rsidR="009D7C54" w:rsidRDefault="009D7C54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</w:t>
            </w:r>
            <w:r>
              <w:rPr>
                <w:b/>
                <w:bCs/>
                <w:szCs w:val="22"/>
              </w:rPr>
              <w:t xml:space="preserve">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grundlegende Intonationsmuster der englischen Sprache imitieren und anwenden,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grundlegende Intonationsmuster der englischen Sprache imitieren und korrekt anwenden,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sprachliches, thematisches und soziokulturelles </w:t>
            </w:r>
            <w:r>
              <w:rPr>
                <w:szCs w:val="22"/>
              </w:rPr>
              <w:t>Wissen und Weltwissen unter Anleitung und teilweise selbstständig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sprachliches, thematisches und soziokulturelles Wissen und Weltwissen selbstständig einbeziehen und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einen Redeplan unter Anleitung und teilweise selbstständig anfertigen und</w:t>
            </w:r>
            <w:r>
              <w:rPr>
                <w:szCs w:val="22"/>
              </w:rPr>
              <w:t xml:space="preserve">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einen Redeplan selbstständig anfertigen und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unter Anleitung und teilweise selb</w:t>
            </w:r>
            <w:r>
              <w:rPr>
                <w:szCs w:val="22"/>
              </w:rPr>
              <w:t>stständig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ein- und zweisprachige Wörterbücher, sowie Medien und Präsentationstechniken selbstständig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 Gespräch mit Hilfe sprachlicher und nicht s</w:t>
            </w:r>
            <w:r>
              <w:rPr>
                <w:szCs w:val="22"/>
              </w:rPr>
              <w:t>prachlicher Mittel und Hilfen adressaten- und situationsgerecht beginnen, aufrechterhalten und beenden,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 Gespräch mit Hilfe sprachlicher und nicht sprachlicher Mittel adressaten-, situations- und sachgerecht beginnen, aufrechterhalten und beenden,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aus </w:t>
            </w:r>
            <w:r>
              <w:rPr>
                <w:szCs w:val="22"/>
              </w:rPr>
              <w:t>Quellen entnommene Informationen für eigene Darlegungen nutzen,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adressatengerecht und anschaulich präsentieren,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Techniken des Mit- und Nachsprechens sowie Auswendiglernens anwenden,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Reime, Gedichte, Lieder lernen und sie kreativ und phantasievoll ausgesta</w:t>
            </w:r>
            <w:r>
              <w:rPr>
                <w:szCs w:val="22"/>
              </w:rPr>
              <w:t>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im Rollenspiel 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im Rollenspiel agieren und dabei improvisieren,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Strategien zur Förderung der Kommunikation durch Nachfragen, nicht sprachliche Mittel und/oder Umschreibung einsetzen,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textsortenspezifische Konventionen einhalten.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Selbst- </w:t>
            </w:r>
            <w:r>
              <w:rPr>
                <w:b/>
                <w:bCs/>
                <w:sz w:val="26"/>
                <w:szCs w:val="26"/>
              </w:rPr>
              <w:t>und Sozialkompetenz</w:t>
            </w:r>
          </w:p>
          <w:p w:rsidR="009D7C54" w:rsidRDefault="0055165E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 Handeln entsprechend der Aufgabe überwiegend selbstständig gestalten,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 Handeln entsprechend der Aufgabe selbstständig gestalten,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Gesprächsregeln einhalten,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situations- und adressatengerecht unter Beachtung sozialer Beziehungen agieren und dabei Respekt und Toleranz zeigen,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</w:pPr>
            <w:r>
              <w:t>adressaten-, situations- und sachgerecht unter Beachtung sozialer Beziehungen agieren und dabei Respekt und To</w:t>
            </w:r>
            <w:r>
              <w:t>leranz zeigen,</w:t>
            </w:r>
          </w:p>
        </w:tc>
      </w:tr>
      <w:tr w:rsidR="009D7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>sich in der Fremdsprache verständigen bzw. die Kommunikation aufrechterhalten,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konstruktiv mit Unbekanntem und Unvorhergesehenem umgehen,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eigene Sprach- und Verhaltenskonventionen bzw. Besonderheiten der Lebensweise mit denen von Schülern </w:t>
            </w:r>
            <w:r>
              <w:rPr>
                <w:szCs w:val="22"/>
              </w:rPr>
              <w:t>in englischsprachigen und anderen Ländern vergleichen, Gemeinsamkeiten und Unterschiede erkennen und respektieren,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anderen zusammenarbeiten, Unterstützung geben und annehmen sowie Verantwortung für andere übernehmen,</w:t>
            </w:r>
          </w:p>
          <w:p w:rsidR="009D7C54" w:rsidRDefault="0055165E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selbstst</w:t>
            </w:r>
            <w:r>
              <w:rPr>
                <w:szCs w:val="22"/>
              </w:rPr>
              <w:t>ändig einschätzen, z. B. mit Hilfe eines Portfolios.</w:t>
            </w:r>
          </w:p>
        </w:tc>
      </w:tr>
    </w:tbl>
    <w:p w:rsidR="009D7C54" w:rsidRDefault="009D7C54"/>
    <w:sectPr w:rsidR="009D7C54">
      <w:footerReference w:type="default" r:id="rId8"/>
      <w:pgSz w:w="16838" w:h="11906" w:orient="landscape"/>
      <w:pgMar w:top="720" w:right="1134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165E">
      <w:r>
        <w:separator/>
      </w:r>
    </w:p>
  </w:endnote>
  <w:endnote w:type="continuationSeparator" w:id="0">
    <w:p w:rsidR="00000000" w:rsidRDefault="0055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Arial, sans-serif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6" w:rsidRDefault="0055165E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6" w:rsidRDefault="0055165E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165E">
      <w:r>
        <w:rPr>
          <w:color w:val="000000"/>
        </w:rPr>
        <w:separator/>
      </w:r>
    </w:p>
  </w:footnote>
  <w:footnote w:type="continuationSeparator" w:id="0">
    <w:p w:rsidR="00000000" w:rsidRDefault="0055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AB2"/>
    <w:multiLevelType w:val="multilevel"/>
    <w:tmpl w:val="AFDC20EE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1" w15:restartNumberingAfterBreak="0">
    <w:nsid w:val="068A042E"/>
    <w:multiLevelType w:val="multilevel"/>
    <w:tmpl w:val="24008C88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" w15:restartNumberingAfterBreak="0">
    <w:nsid w:val="076855FB"/>
    <w:multiLevelType w:val="multilevel"/>
    <w:tmpl w:val="A19ED764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" w15:restartNumberingAfterBreak="0">
    <w:nsid w:val="0A3B23C9"/>
    <w:multiLevelType w:val="multilevel"/>
    <w:tmpl w:val="2F424282"/>
    <w:styleLink w:val="List2"/>
    <w:lvl w:ilvl="0">
      <w:numFmt w:val="bullet"/>
      <w:pStyle w:val="Anstrich1"/>
      <w:lvlText w:val="–"/>
      <w:lvlJc w:val="left"/>
      <w:pPr>
        <w:ind w:left="198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4" w15:restartNumberingAfterBreak="0">
    <w:nsid w:val="12237A76"/>
    <w:multiLevelType w:val="multilevel"/>
    <w:tmpl w:val="C9569F5E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5" w15:restartNumberingAfterBreak="0">
    <w:nsid w:val="122F5A5C"/>
    <w:multiLevelType w:val="multilevel"/>
    <w:tmpl w:val="88FC97CE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6" w15:restartNumberingAfterBreak="0">
    <w:nsid w:val="18E40EE2"/>
    <w:multiLevelType w:val="multilevel"/>
    <w:tmpl w:val="7354D25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7" w15:restartNumberingAfterBreak="0">
    <w:nsid w:val="259E61E1"/>
    <w:multiLevelType w:val="multilevel"/>
    <w:tmpl w:val="A49C5FFE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8" w15:restartNumberingAfterBreak="0">
    <w:nsid w:val="25C22B1E"/>
    <w:multiLevelType w:val="multilevel"/>
    <w:tmpl w:val="92D45A96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9" w15:restartNumberingAfterBreak="0">
    <w:nsid w:val="2CDA6FF3"/>
    <w:multiLevelType w:val="multilevel"/>
    <w:tmpl w:val="F544CB78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10" w15:restartNumberingAfterBreak="0">
    <w:nsid w:val="2D3624F5"/>
    <w:multiLevelType w:val="multilevel"/>
    <w:tmpl w:val="F6BE8E64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87D458B"/>
    <w:multiLevelType w:val="multilevel"/>
    <w:tmpl w:val="38A0E4D6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2" w15:restartNumberingAfterBreak="0">
    <w:nsid w:val="39885EE2"/>
    <w:multiLevelType w:val="multilevel"/>
    <w:tmpl w:val="B5E81746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3" w15:restartNumberingAfterBreak="0">
    <w:nsid w:val="48996B1B"/>
    <w:multiLevelType w:val="multilevel"/>
    <w:tmpl w:val="5338EDF8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4" w15:restartNumberingAfterBreak="0">
    <w:nsid w:val="48C32F01"/>
    <w:multiLevelType w:val="multilevel"/>
    <w:tmpl w:val="C660E110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C535715"/>
    <w:multiLevelType w:val="multilevel"/>
    <w:tmpl w:val="16B0D2D8"/>
    <w:styleLink w:val="Liste21"/>
    <w:lvl w:ilvl="0">
      <w:numFmt w:val="bullet"/>
      <w:lvlText w:val="-"/>
      <w:lvlJc w:val="left"/>
      <w:pPr>
        <w:ind w:left="198" w:hanging="170"/>
      </w:pPr>
      <w:rPr>
        <w:rFonts w:ascii="Tahoma" w:hAnsi="Tahoma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6" w15:restartNumberingAfterBreak="0">
    <w:nsid w:val="500F262F"/>
    <w:multiLevelType w:val="multilevel"/>
    <w:tmpl w:val="17B84F1A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7" w15:restartNumberingAfterBreak="0">
    <w:nsid w:val="52A975BD"/>
    <w:multiLevelType w:val="multilevel"/>
    <w:tmpl w:val="340C1BE8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885450"/>
    <w:multiLevelType w:val="multilevel"/>
    <w:tmpl w:val="9DB49324"/>
    <w:styleLink w:val="List4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19" w15:restartNumberingAfterBreak="0">
    <w:nsid w:val="58F73640"/>
    <w:multiLevelType w:val="multilevel"/>
    <w:tmpl w:val="E34C5CFA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0" w15:restartNumberingAfterBreak="0">
    <w:nsid w:val="5D571044"/>
    <w:multiLevelType w:val="multilevel"/>
    <w:tmpl w:val="4B6A7BC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21" w15:restartNumberingAfterBreak="0">
    <w:nsid w:val="5D9F745D"/>
    <w:multiLevelType w:val="multilevel"/>
    <w:tmpl w:val="BBDC970C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2" w15:restartNumberingAfterBreak="0">
    <w:nsid w:val="62180365"/>
    <w:multiLevelType w:val="multilevel"/>
    <w:tmpl w:val="E1D8B1F0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1257754"/>
    <w:multiLevelType w:val="multilevel"/>
    <w:tmpl w:val="22FEB8B0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3C6422E"/>
    <w:multiLevelType w:val="multilevel"/>
    <w:tmpl w:val="44806A6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25" w15:restartNumberingAfterBreak="0">
    <w:nsid w:val="74425EB0"/>
    <w:multiLevelType w:val="multilevel"/>
    <w:tmpl w:val="9AE48B6C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4B21D1A"/>
    <w:multiLevelType w:val="multilevel"/>
    <w:tmpl w:val="271848A4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27" w15:restartNumberingAfterBreak="0">
    <w:nsid w:val="7B140E59"/>
    <w:multiLevelType w:val="multilevel"/>
    <w:tmpl w:val="501243D4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7F08267F"/>
    <w:multiLevelType w:val="multilevel"/>
    <w:tmpl w:val="0E88B752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9" w15:restartNumberingAfterBreak="0">
    <w:nsid w:val="7F20385E"/>
    <w:multiLevelType w:val="multilevel"/>
    <w:tmpl w:val="4F9A4CCC"/>
    <w:styleLink w:val="List3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4"/>
  </w:num>
  <w:num w:numId="2">
    <w:abstractNumId w:val="20"/>
  </w:num>
  <w:num w:numId="3">
    <w:abstractNumId w:val="3"/>
  </w:num>
  <w:num w:numId="4">
    <w:abstractNumId w:val="29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7"/>
  </w:num>
  <w:num w:numId="10">
    <w:abstractNumId w:val="26"/>
  </w:num>
  <w:num w:numId="11">
    <w:abstractNumId w:val="0"/>
  </w:num>
  <w:num w:numId="12">
    <w:abstractNumId w:val="22"/>
  </w:num>
  <w:num w:numId="13">
    <w:abstractNumId w:val="27"/>
  </w:num>
  <w:num w:numId="14">
    <w:abstractNumId w:val="14"/>
  </w:num>
  <w:num w:numId="15">
    <w:abstractNumId w:val="25"/>
  </w:num>
  <w:num w:numId="16">
    <w:abstractNumId w:val="10"/>
  </w:num>
  <w:num w:numId="17">
    <w:abstractNumId w:val="5"/>
  </w:num>
  <w:num w:numId="18">
    <w:abstractNumId w:val="8"/>
  </w:num>
  <w:num w:numId="19">
    <w:abstractNumId w:val="17"/>
  </w:num>
  <w:num w:numId="20">
    <w:abstractNumId w:val="23"/>
  </w:num>
  <w:num w:numId="21">
    <w:abstractNumId w:val="21"/>
  </w:num>
  <w:num w:numId="22">
    <w:abstractNumId w:val="2"/>
  </w:num>
  <w:num w:numId="23">
    <w:abstractNumId w:val="16"/>
  </w:num>
  <w:num w:numId="24">
    <w:abstractNumId w:val="28"/>
  </w:num>
  <w:num w:numId="25">
    <w:abstractNumId w:val="12"/>
  </w:num>
  <w:num w:numId="26">
    <w:abstractNumId w:val="4"/>
  </w:num>
  <w:num w:numId="27">
    <w:abstractNumId w:val="11"/>
  </w:num>
  <w:num w:numId="28">
    <w:abstractNumId w:val="13"/>
  </w:num>
  <w:num w:numId="29">
    <w:abstractNumId w:val="1"/>
  </w:num>
  <w:num w:numId="30">
    <w:abstractNumId w:val="19"/>
  </w:num>
  <w:num w:numId="31">
    <w:abstractNumId w:val="2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7C54"/>
    <w:rsid w:val="0055165E"/>
    <w:rsid w:val="009D7C54"/>
    <w:rsid w:val="00B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BED7A-39F1-44BE-A56F-2BE8CC3E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2">
    <w:name w:val="WW_OutlineListStyle_2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3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10"/>
      </w:numPr>
    </w:pPr>
  </w:style>
  <w:style w:type="paragraph" w:customStyle="1" w:styleId="Anstrich3">
    <w:name w:val="Anstrich3"/>
    <w:basedOn w:val="TextLinks"/>
    <w:next w:val="TextLinks"/>
    <w:pPr>
      <w:numPr>
        <w:numId w:val="4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keepNext w:val="0"/>
      <w:numPr>
        <w:numId w:val="8"/>
      </w:numPr>
      <w:spacing w:before="0" w:after="0"/>
    </w:pPr>
    <w:rPr>
      <w:rFonts w:ascii="Times New Roman" w:eastAsia="Andale Sans UI" w:hAnsi="Times New Roman"/>
      <w:i w:val="0"/>
      <w:sz w:val="22"/>
      <w:szCs w:val="24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Outline">
    <w:name w:val="Outline"/>
    <w:basedOn w:val="KeineListe"/>
    <w:pPr>
      <w:numPr>
        <w:numId w:val="2"/>
      </w:numPr>
    </w:pPr>
  </w:style>
  <w:style w:type="numbering" w:customStyle="1" w:styleId="List2">
    <w:name w:val="List 2"/>
    <w:basedOn w:val="KeineListe"/>
    <w:pPr>
      <w:numPr>
        <w:numId w:val="3"/>
      </w:numPr>
    </w:pPr>
  </w:style>
  <w:style w:type="numbering" w:customStyle="1" w:styleId="List3">
    <w:name w:val="List 3"/>
    <w:basedOn w:val="KeineListe"/>
    <w:pPr>
      <w:numPr>
        <w:numId w:val="4"/>
      </w:numPr>
    </w:pPr>
  </w:style>
  <w:style w:type="numbering" w:customStyle="1" w:styleId="List4">
    <w:name w:val="List 4"/>
    <w:basedOn w:val="KeineListe"/>
    <w:pPr>
      <w:numPr>
        <w:numId w:val="5"/>
      </w:numPr>
    </w:pPr>
  </w:style>
  <w:style w:type="numbering" w:customStyle="1" w:styleId="WWOutlineListStyle1">
    <w:name w:val="WW_OutlineListStyle_1"/>
    <w:basedOn w:val="KeineListe"/>
    <w:pPr>
      <w:numPr>
        <w:numId w:val="6"/>
      </w:numPr>
    </w:pPr>
  </w:style>
  <w:style w:type="numbering" w:customStyle="1" w:styleId="Liste21">
    <w:name w:val="Liste 21"/>
    <w:basedOn w:val="KeineListe"/>
    <w:pPr>
      <w:numPr>
        <w:numId w:val="7"/>
      </w:numPr>
    </w:pPr>
  </w:style>
  <w:style w:type="numbering" w:customStyle="1" w:styleId="WWOutlineListStyle">
    <w:name w:val="WW_OutlineListStyle"/>
    <w:basedOn w:val="KeineListe"/>
    <w:pPr>
      <w:numPr>
        <w:numId w:val="8"/>
      </w:numPr>
    </w:pPr>
  </w:style>
  <w:style w:type="numbering" w:customStyle="1" w:styleId="Numbering11">
    <w:name w:val="Numbering 1_1"/>
    <w:basedOn w:val="KeineListe"/>
    <w:pPr>
      <w:numPr>
        <w:numId w:val="9"/>
      </w:numPr>
    </w:pPr>
  </w:style>
  <w:style w:type="numbering" w:customStyle="1" w:styleId="List11">
    <w:name w:val="List 1_1"/>
    <w:basedOn w:val="KeineListe"/>
    <w:pPr>
      <w:numPr>
        <w:numId w:val="10"/>
      </w:numPr>
    </w:pPr>
  </w:style>
  <w:style w:type="numbering" w:customStyle="1" w:styleId="RTFNum2">
    <w:name w:val="RTF_Num 2"/>
    <w:basedOn w:val="KeineListe"/>
    <w:pPr>
      <w:numPr>
        <w:numId w:val="11"/>
      </w:numPr>
    </w:pPr>
  </w:style>
  <w:style w:type="numbering" w:customStyle="1" w:styleId="RTFNum3">
    <w:name w:val="RTF_Num 3"/>
    <w:basedOn w:val="KeineListe"/>
    <w:pPr>
      <w:numPr>
        <w:numId w:val="12"/>
      </w:numPr>
    </w:pPr>
  </w:style>
  <w:style w:type="numbering" w:customStyle="1" w:styleId="RTFNum4">
    <w:name w:val="RTF_Num 4"/>
    <w:basedOn w:val="KeineListe"/>
    <w:pPr>
      <w:numPr>
        <w:numId w:val="13"/>
      </w:numPr>
    </w:pPr>
  </w:style>
  <w:style w:type="numbering" w:customStyle="1" w:styleId="RTFNum5">
    <w:name w:val="RTF_Num 5"/>
    <w:basedOn w:val="KeineListe"/>
    <w:pPr>
      <w:numPr>
        <w:numId w:val="14"/>
      </w:numPr>
    </w:pPr>
  </w:style>
  <w:style w:type="numbering" w:customStyle="1" w:styleId="RTFNum6">
    <w:name w:val="RTF_Num 6"/>
    <w:basedOn w:val="KeineListe"/>
    <w:pPr>
      <w:numPr>
        <w:numId w:val="15"/>
      </w:numPr>
    </w:pPr>
  </w:style>
  <w:style w:type="numbering" w:customStyle="1" w:styleId="RTFNum7">
    <w:name w:val="RTF_Num 7"/>
    <w:basedOn w:val="KeineListe"/>
    <w:pPr>
      <w:numPr>
        <w:numId w:val="16"/>
      </w:numPr>
    </w:pPr>
  </w:style>
  <w:style w:type="numbering" w:customStyle="1" w:styleId="RTFNum8">
    <w:name w:val="RTF_Num 8"/>
    <w:basedOn w:val="KeineListe"/>
    <w:pPr>
      <w:numPr>
        <w:numId w:val="17"/>
      </w:numPr>
    </w:pPr>
  </w:style>
  <w:style w:type="numbering" w:customStyle="1" w:styleId="RTFNum9">
    <w:name w:val="RTF_Num 9"/>
    <w:basedOn w:val="KeineListe"/>
    <w:pPr>
      <w:numPr>
        <w:numId w:val="18"/>
      </w:numPr>
    </w:pPr>
  </w:style>
  <w:style w:type="numbering" w:customStyle="1" w:styleId="RTFNum10">
    <w:name w:val="RTF_Num 10"/>
    <w:basedOn w:val="KeineListe"/>
    <w:pPr>
      <w:numPr>
        <w:numId w:val="19"/>
      </w:numPr>
    </w:pPr>
  </w:style>
  <w:style w:type="numbering" w:customStyle="1" w:styleId="RTFNum11">
    <w:name w:val="RTF_Num 11"/>
    <w:basedOn w:val="KeineListe"/>
    <w:pPr>
      <w:numPr>
        <w:numId w:val="20"/>
      </w:numPr>
    </w:pPr>
  </w:style>
  <w:style w:type="numbering" w:customStyle="1" w:styleId="WW8Num2">
    <w:name w:val="WW8Num2"/>
    <w:basedOn w:val="KeineListe"/>
    <w:pPr>
      <w:numPr>
        <w:numId w:val="21"/>
      </w:numPr>
    </w:pPr>
  </w:style>
  <w:style w:type="numbering" w:customStyle="1" w:styleId="WW8Num3">
    <w:name w:val="WW8Num3"/>
    <w:basedOn w:val="KeineListe"/>
    <w:pPr>
      <w:numPr>
        <w:numId w:val="22"/>
      </w:numPr>
    </w:pPr>
  </w:style>
  <w:style w:type="numbering" w:customStyle="1" w:styleId="WW8Num4">
    <w:name w:val="WW8Num4"/>
    <w:basedOn w:val="KeineListe"/>
    <w:pPr>
      <w:numPr>
        <w:numId w:val="23"/>
      </w:numPr>
    </w:pPr>
  </w:style>
  <w:style w:type="numbering" w:customStyle="1" w:styleId="WW8Num5">
    <w:name w:val="WW8Num5"/>
    <w:basedOn w:val="KeineListe"/>
    <w:pPr>
      <w:numPr>
        <w:numId w:val="24"/>
      </w:numPr>
    </w:pPr>
  </w:style>
  <w:style w:type="numbering" w:customStyle="1" w:styleId="WW8Num6">
    <w:name w:val="WW8Num6"/>
    <w:basedOn w:val="KeineListe"/>
    <w:pPr>
      <w:numPr>
        <w:numId w:val="25"/>
      </w:numPr>
    </w:pPr>
  </w:style>
  <w:style w:type="numbering" w:customStyle="1" w:styleId="WW8Num7">
    <w:name w:val="WW8Num7"/>
    <w:basedOn w:val="KeineListe"/>
    <w:pPr>
      <w:numPr>
        <w:numId w:val="26"/>
      </w:numPr>
    </w:pPr>
  </w:style>
  <w:style w:type="numbering" w:customStyle="1" w:styleId="WW8Num8">
    <w:name w:val="WW8Num8"/>
    <w:basedOn w:val="KeineListe"/>
    <w:pPr>
      <w:numPr>
        <w:numId w:val="27"/>
      </w:numPr>
    </w:pPr>
  </w:style>
  <w:style w:type="numbering" w:customStyle="1" w:styleId="WW8Num9">
    <w:name w:val="WW8Num9"/>
    <w:basedOn w:val="KeineListe"/>
    <w:pPr>
      <w:numPr>
        <w:numId w:val="28"/>
      </w:numPr>
    </w:pPr>
  </w:style>
  <w:style w:type="numbering" w:customStyle="1" w:styleId="WW8Num10">
    <w:name w:val="WW8Num10"/>
    <w:basedOn w:val="KeineListe"/>
    <w:pPr>
      <w:numPr>
        <w:numId w:val="29"/>
      </w:numPr>
    </w:pPr>
  </w:style>
  <w:style w:type="numbering" w:customStyle="1" w:styleId="WW8Num11">
    <w:name w:val="WW8Num11"/>
    <w:basedOn w:val="KeineList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2</cp:revision>
  <dcterms:created xsi:type="dcterms:W3CDTF">2022-07-21T06:10:00Z</dcterms:created>
  <dcterms:modified xsi:type="dcterms:W3CDTF">2022-07-21T06:10:00Z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